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20" w:type="dxa"/>
        <w:tblCellMar>
          <w:top w:w="40" w:type="dxa"/>
          <w:left w:w="40" w:type="dxa"/>
          <w:bottom w:w="40" w:type="dxa"/>
          <w:right w:w="40" w:type="dxa"/>
        </w:tblCellMar>
        <w:tblLook w:val="04A0" w:firstRow="1" w:lastRow="0" w:firstColumn="1" w:lastColumn="0" w:noHBand="0" w:noVBand="1"/>
      </w:tblPr>
      <w:tblGrid>
        <w:gridCol w:w="5770"/>
        <w:gridCol w:w="1429"/>
        <w:gridCol w:w="2321"/>
      </w:tblGrid>
      <w:tr w:rsidR="00BB5ED6" w:rsidRPr="00BB5ED6" w:rsidTr="00BB5ED6">
        <w:trPr>
          <w:tblCellSpacing w:w="20" w:type="dxa"/>
        </w:trPr>
        <w:tc>
          <w:tcPr>
            <w:tcW w:w="0" w:type="auto"/>
            <w:gridSpan w:val="2"/>
            <w:hideMark/>
          </w:tcPr>
          <w:p w:rsidR="00BB5ED6" w:rsidRPr="00BB5ED6" w:rsidRDefault="00BB5ED6" w:rsidP="00BB5ED6">
            <w:pPr>
              <w:spacing w:before="100" w:beforeAutospacing="1" w:after="100" w:afterAutospacing="1" w:line="240" w:lineRule="auto"/>
              <w:outlineLvl w:val="3"/>
              <w:rPr>
                <w:rFonts w:eastAsia="Times New Roman" w:cs="Times New Roman"/>
                <w:b/>
                <w:bCs/>
                <w:szCs w:val="24"/>
              </w:rPr>
            </w:pPr>
            <w:r w:rsidRPr="00BB5ED6">
              <w:rPr>
                <w:rFonts w:eastAsia="Times New Roman" w:cs="Times New Roman"/>
                <w:b/>
                <w:bCs/>
                <w:szCs w:val="24"/>
              </w:rPr>
              <w:t>North Carolina Division of Aging and Adult Services</w:t>
            </w:r>
          </w:p>
        </w:tc>
        <w:tc>
          <w:tcPr>
            <w:tcW w:w="0" w:type="auto"/>
            <w:hideMark/>
          </w:tcPr>
          <w:p w:rsidR="00BB5ED6" w:rsidRPr="00BB5ED6" w:rsidRDefault="00BB5ED6" w:rsidP="00BB5ED6">
            <w:pPr>
              <w:spacing w:line="240" w:lineRule="auto"/>
              <w:rPr>
                <w:rFonts w:eastAsia="Times New Roman" w:cs="Times New Roman"/>
                <w:szCs w:val="24"/>
              </w:rPr>
            </w:pPr>
            <w:r w:rsidRPr="00BB5ED6">
              <w:rPr>
                <w:rFonts w:eastAsia="Times New Roman" w:cs="Times New Roman"/>
                <w:szCs w:val="24"/>
              </w:rPr>
              <w:t> </w:t>
            </w:r>
          </w:p>
        </w:tc>
      </w:tr>
      <w:tr w:rsidR="00BB5ED6" w:rsidRPr="00BB5ED6" w:rsidTr="00BB5ED6">
        <w:trPr>
          <w:tblCellSpacing w:w="20" w:type="dxa"/>
        </w:trPr>
        <w:tc>
          <w:tcPr>
            <w:tcW w:w="3050" w:type="pct"/>
            <w:hideMark/>
          </w:tcPr>
          <w:p w:rsidR="00BB5ED6" w:rsidRPr="00BB5ED6" w:rsidRDefault="00BB5ED6" w:rsidP="00BB5ED6">
            <w:pPr>
              <w:spacing w:before="100" w:beforeAutospacing="1" w:after="100" w:afterAutospacing="1" w:line="240" w:lineRule="auto"/>
              <w:jc w:val="center"/>
              <w:outlineLvl w:val="4"/>
              <w:rPr>
                <w:rFonts w:eastAsia="Times New Roman" w:cs="Times New Roman"/>
                <w:b/>
                <w:bCs/>
                <w:sz w:val="20"/>
                <w:szCs w:val="20"/>
              </w:rPr>
            </w:pPr>
            <w:r w:rsidRPr="00BB5ED6">
              <w:rPr>
                <w:rFonts w:ascii="Arial" w:eastAsia="Times New Roman" w:hAnsi="Arial" w:cs="Arial"/>
                <w:b/>
                <w:bCs/>
                <w:sz w:val="27"/>
                <w:szCs w:val="27"/>
              </w:rPr>
              <w:br/>
              <w:t>Guardianship Services</w:t>
            </w:r>
            <w:r w:rsidRPr="00BB5ED6">
              <w:rPr>
                <w:rFonts w:ascii="Arial" w:eastAsia="Times New Roman" w:hAnsi="Arial" w:cs="Arial"/>
                <w:b/>
                <w:bCs/>
                <w:i/>
                <w:iCs/>
                <w:sz w:val="27"/>
                <w:szCs w:val="27"/>
              </w:rPr>
              <w:t xml:space="preserve"> </w:t>
            </w:r>
          </w:p>
          <w:p w:rsidR="00BB5ED6" w:rsidRPr="00BB5ED6" w:rsidRDefault="00BB5ED6" w:rsidP="00BB5ED6">
            <w:pPr>
              <w:spacing w:before="100" w:beforeAutospacing="1" w:after="100" w:afterAutospacing="1" w:line="240" w:lineRule="auto"/>
              <w:rPr>
                <w:rFonts w:eastAsia="Times New Roman" w:cs="Times New Roman"/>
                <w:szCs w:val="24"/>
              </w:rPr>
            </w:pPr>
            <w:r w:rsidRPr="00BB5ED6">
              <w:rPr>
                <w:rFonts w:ascii="Arial" w:eastAsia="Times New Roman" w:hAnsi="Arial" w:cs="Arial"/>
                <w:szCs w:val="24"/>
              </w:rPr>
              <w:t>For adults who have been adjudicated incompetent by the court, directors or assistant directors of local human services agencies (county departments of social services, area mental health agencies, local health departments, county departments on aging) often serve as guardians. Directors and assistant directors of local human services agencies are appointed to serve as guardians when no other adult individual or corporation is available and willing, as required by North Carolina General Statute 35A.</w:t>
            </w:r>
          </w:p>
          <w:p w:rsidR="00BB5ED6" w:rsidRPr="00BB5ED6" w:rsidRDefault="00BB5ED6" w:rsidP="00BB5ED6">
            <w:pPr>
              <w:spacing w:before="100" w:beforeAutospacing="1" w:after="100" w:afterAutospacing="1" w:line="240" w:lineRule="auto"/>
              <w:rPr>
                <w:rFonts w:eastAsia="Times New Roman" w:cs="Times New Roman"/>
                <w:szCs w:val="24"/>
              </w:rPr>
            </w:pPr>
            <w:r w:rsidRPr="00BB5ED6">
              <w:rPr>
                <w:rFonts w:ascii="Arial" w:eastAsia="Times New Roman" w:hAnsi="Arial" w:cs="Arial"/>
                <w:szCs w:val="24"/>
              </w:rPr>
              <w:t>Guardianship Services are provided to individuals who are alleged to be incompetent and to individuals who are adjudicated incompetent by the court and need a guardian. Services may include assessing an individual's need for guardianship; locating the appropriate person(s) to serve as guardian(s); and, when necessary, petitioning or assisting the individual's family to petition for the adjudication of incompetence and the appointment of a guardian. Services may also include ongoing casework with the individual, the individual's family, and caregivers when the agency director or assistant director has been appointed as guardian. Responsibilities of the guardian may include making decisions about where the individual will live, authorizing medical treatment, managing the individual's finances, and filing status reports and accountings with the court.</w:t>
            </w:r>
          </w:p>
          <w:p w:rsidR="00BB5ED6" w:rsidRPr="00BB5ED6" w:rsidRDefault="00BB5ED6" w:rsidP="00BB5ED6">
            <w:pPr>
              <w:spacing w:before="100" w:beforeAutospacing="1" w:after="100" w:afterAutospacing="1" w:line="240" w:lineRule="auto"/>
              <w:rPr>
                <w:rFonts w:eastAsia="Times New Roman" w:cs="Times New Roman"/>
                <w:szCs w:val="24"/>
              </w:rPr>
            </w:pPr>
            <w:r w:rsidRPr="00BB5ED6">
              <w:rPr>
                <w:rFonts w:ascii="Arial" w:eastAsia="Times New Roman" w:hAnsi="Arial" w:cs="Arial"/>
                <w:szCs w:val="24"/>
              </w:rPr>
              <w:t>For additional information about guardianship, please read the information provided below:</w:t>
            </w:r>
          </w:p>
          <w:p w:rsidR="00BB5ED6" w:rsidRPr="00BB5ED6" w:rsidRDefault="00BB5ED6" w:rsidP="00BB5ED6">
            <w:pPr>
              <w:spacing w:before="100" w:beforeAutospacing="1" w:after="100" w:afterAutospacing="1" w:line="240" w:lineRule="auto"/>
              <w:rPr>
                <w:rFonts w:eastAsia="Times New Roman" w:cs="Times New Roman"/>
                <w:szCs w:val="24"/>
              </w:rPr>
            </w:pPr>
            <w:r w:rsidRPr="00BB5ED6">
              <w:rPr>
                <w:rFonts w:eastAsia="Times New Roman" w:cs="Times New Roman"/>
                <w:szCs w:val="24"/>
              </w:rPr>
              <w:br/>
            </w:r>
            <w:hyperlink r:id="rId6" w:anchor="What" w:history="1">
              <w:r w:rsidRPr="00BB5ED6">
                <w:rPr>
                  <w:rFonts w:ascii="Arial" w:eastAsia="Times New Roman" w:hAnsi="Arial" w:cs="Arial"/>
                  <w:i/>
                  <w:iCs/>
                  <w:color w:val="0000FF"/>
                  <w:szCs w:val="24"/>
                  <w:u w:val="single"/>
                </w:rPr>
                <w:t>What is guardianship?</w:t>
              </w:r>
            </w:hyperlink>
            <w:r w:rsidRPr="00BB5ED6">
              <w:rPr>
                <w:rFonts w:ascii="Arial" w:eastAsia="Times New Roman" w:hAnsi="Arial" w:cs="Arial"/>
                <w:i/>
                <w:iCs/>
                <w:szCs w:val="24"/>
              </w:rPr>
              <w:t xml:space="preserve"> </w:t>
            </w:r>
            <w:r w:rsidRPr="00BB5ED6">
              <w:rPr>
                <w:rFonts w:ascii="Arial" w:eastAsia="Times New Roman" w:hAnsi="Arial" w:cs="Arial"/>
                <w:i/>
                <w:iCs/>
                <w:szCs w:val="24"/>
              </w:rPr>
              <w:br/>
            </w:r>
            <w:hyperlink r:id="rId7" w:anchor="Are" w:history="1">
              <w:r w:rsidRPr="00BB5ED6">
                <w:rPr>
                  <w:rFonts w:ascii="Arial" w:eastAsia="Times New Roman" w:hAnsi="Arial" w:cs="Arial"/>
                  <w:i/>
                  <w:iCs/>
                  <w:color w:val="0000FF"/>
                  <w:szCs w:val="24"/>
                  <w:u w:val="single"/>
                </w:rPr>
                <w:t>Are there different kinds of guardians?</w:t>
              </w:r>
            </w:hyperlink>
            <w:r w:rsidRPr="00BB5ED6">
              <w:rPr>
                <w:rFonts w:ascii="Arial" w:eastAsia="Times New Roman" w:hAnsi="Arial" w:cs="Arial"/>
                <w:i/>
                <w:iCs/>
                <w:szCs w:val="24"/>
              </w:rPr>
              <w:t xml:space="preserve"> </w:t>
            </w:r>
            <w:r w:rsidRPr="00BB5ED6">
              <w:rPr>
                <w:rFonts w:ascii="Arial" w:eastAsia="Times New Roman" w:hAnsi="Arial" w:cs="Arial"/>
                <w:i/>
                <w:iCs/>
                <w:szCs w:val="24"/>
              </w:rPr>
              <w:br/>
            </w:r>
            <w:hyperlink r:id="rId8" w:anchor="When" w:history="1">
              <w:r w:rsidRPr="00BB5ED6">
                <w:rPr>
                  <w:rFonts w:ascii="Arial" w:eastAsia="Times New Roman" w:hAnsi="Arial" w:cs="Arial"/>
                  <w:i/>
                  <w:iCs/>
                  <w:color w:val="0000FF"/>
                  <w:szCs w:val="24"/>
                  <w:u w:val="single"/>
                </w:rPr>
                <w:t>When does a guardianship end?</w:t>
              </w:r>
            </w:hyperlink>
          </w:p>
          <w:p w:rsidR="00BB5ED6" w:rsidRPr="00BB5ED6" w:rsidRDefault="00BB5ED6" w:rsidP="00BB5ED6">
            <w:pPr>
              <w:spacing w:line="240" w:lineRule="auto"/>
              <w:rPr>
                <w:rFonts w:eastAsia="Times New Roman" w:cs="Times New Roman"/>
                <w:szCs w:val="24"/>
              </w:rPr>
            </w:pPr>
            <w:bookmarkStart w:id="0" w:name="What"/>
            <w:bookmarkEnd w:id="0"/>
            <w:r w:rsidRPr="00BB5ED6">
              <w:rPr>
                <w:rFonts w:eastAsia="Times New Roman" w:cs="Times New Roman"/>
                <w:szCs w:val="24"/>
              </w:rPr>
              <w:pict>
                <v:rect id="_x0000_i1025" style="width:0;height:1.5pt" o:hralign="center" o:hrstd="t" o:hr="t" fillcolor="#a0a0a0" stroked="f"/>
              </w:pict>
            </w:r>
          </w:p>
          <w:p w:rsidR="00BB5ED6" w:rsidRPr="00BB5ED6" w:rsidRDefault="00BB5ED6" w:rsidP="00BB5ED6">
            <w:pPr>
              <w:spacing w:before="100" w:beforeAutospacing="1" w:after="100" w:afterAutospacing="1" w:line="240" w:lineRule="auto"/>
              <w:rPr>
                <w:rFonts w:eastAsia="Times New Roman" w:cs="Times New Roman"/>
                <w:szCs w:val="24"/>
              </w:rPr>
            </w:pPr>
            <w:r w:rsidRPr="00BB5ED6">
              <w:rPr>
                <w:rFonts w:ascii="Arial" w:eastAsia="Times New Roman" w:hAnsi="Arial" w:cs="Arial"/>
                <w:b/>
                <w:bCs/>
                <w:szCs w:val="24"/>
              </w:rPr>
              <w:t>What is guardianship?</w:t>
            </w:r>
          </w:p>
          <w:p w:rsidR="00BB5ED6" w:rsidRPr="00BB5ED6" w:rsidRDefault="00BB5ED6" w:rsidP="00BB5ED6">
            <w:pPr>
              <w:spacing w:before="100" w:beforeAutospacing="1" w:after="100" w:afterAutospacing="1" w:line="240" w:lineRule="auto"/>
              <w:rPr>
                <w:rFonts w:eastAsia="Times New Roman" w:cs="Times New Roman"/>
                <w:szCs w:val="24"/>
              </w:rPr>
            </w:pPr>
            <w:r w:rsidRPr="00BB5ED6">
              <w:rPr>
                <w:rFonts w:ascii="Arial" w:eastAsia="Times New Roman" w:hAnsi="Arial" w:cs="Arial"/>
                <w:szCs w:val="24"/>
              </w:rPr>
              <w:lastRenderedPageBreak/>
              <w:t xml:space="preserve">Guardianship is a legal relationship in which someone (the guardian) is authorized by the clerk of superior court to be substitute decision maker for an incompetent adult (the ward). Incompetence is determined in a court proceeding and means an adult is unable to manage his own affairs, or is unable to make important decisions. </w:t>
            </w:r>
          </w:p>
          <w:p w:rsidR="00BB5ED6" w:rsidRPr="00BB5ED6" w:rsidRDefault="00BB5ED6" w:rsidP="00BB5ED6">
            <w:pPr>
              <w:spacing w:before="100" w:beforeAutospacing="1" w:after="100" w:afterAutospacing="1" w:line="240" w:lineRule="auto"/>
              <w:rPr>
                <w:rFonts w:eastAsia="Times New Roman" w:cs="Times New Roman"/>
                <w:szCs w:val="24"/>
              </w:rPr>
            </w:pPr>
            <w:r w:rsidRPr="00BB5ED6">
              <w:rPr>
                <w:rFonts w:ascii="Arial" w:eastAsia="Times New Roman" w:hAnsi="Arial" w:cs="Arial"/>
                <w:i/>
                <w:iCs/>
                <w:szCs w:val="24"/>
              </w:rPr>
              <w:t>How is a proceeding to determine incompetence started?</w:t>
            </w:r>
            <w:r w:rsidRPr="00BB5ED6">
              <w:rPr>
                <w:rFonts w:ascii="Arial" w:eastAsia="Times New Roman" w:hAnsi="Arial" w:cs="Arial"/>
                <w:szCs w:val="24"/>
              </w:rPr>
              <w:t xml:space="preserve"> </w:t>
            </w:r>
          </w:p>
          <w:p w:rsidR="00BB5ED6" w:rsidRPr="00BB5ED6" w:rsidRDefault="00BB5ED6" w:rsidP="00BB5ED6">
            <w:pPr>
              <w:spacing w:before="100" w:beforeAutospacing="1" w:after="100" w:afterAutospacing="1" w:line="240" w:lineRule="auto"/>
              <w:rPr>
                <w:rFonts w:eastAsia="Times New Roman" w:cs="Times New Roman"/>
                <w:szCs w:val="24"/>
              </w:rPr>
            </w:pPr>
            <w:r w:rsidRPr="00BB5ED6">
              <w:rPr>
                <w:rFonts w:ascii="Arial" w:eastAsia="Times New Roman" w:hAnsi="Arial" w:cs="Arial"/>
                <w:szCs w:val="24"/>
              </w:rPr>
              <w:t xml:space="preserve">Anyone, including a family member, representative of a county Department of Social Services, mental health center, health department, or anyone else who knows the person, may file a written request (a petition) with the clerk of superior court alleging that an adult (the respondent) should be declared incompetent and have a guardian appointed. Every clerk's office has forms that may be completed and filed for the petition. The petition must include a sworn statement that the information in the petition is true. A fee for filing the petition may be required in some situations and may be reimbursed later by the court unless the court determines the petitioner did not have good reason to start the guardianship proceeding. </w:t>
            </w:r>
          </w:p>
          <w:p w:rsidR="00BB5ED6" w:rsidRPr="00BB5ED6" w:rsidRDefault="00BB5ED6" w:rsidP="00BB5ED6">
            <w:pPr>
              <w:spacing w:before="100" w:beforeAutospacing="1" w:after="100" w:afterAutospacing="1" w:line="240" w:lineRule="auto"/>
              <w:rPr>
                <w:rFonts w:eastAsia="Times New Roman" w:cs="Times New Roman"/>
                <w:szCs w:val="24"/>
              </w:rPr>
            </w:pPr>
            <w:r w:rsidRPr="00BB5ED6">
              <w:rPr>
                <w:rFonts w:ascii="Arial" w:eastAsia="Times New Roman" w:hAnsi="Arial" w:cs="Arial"/>
                <w:szCs w:val="24"/>
              </w:rPr>
              <w:t xml:space="preserve">When a petition is filed, the clerk of court sets a date and time for the guardianship hearing. The sheriff serves copies of the petition and notice of the hearing on the respondent and on his attorney or other representative. The petitioner must mail copies of the petition and notice of the hearing to the respondent's spouse and relatives. </w:t>
            </w:r>
          </w:p>
          <w:p w:rsidR="00BB5ED6" w:rsidRPr="00BB5ED6" w:rsidRDefault="00BB5ED6" w:rsidP="00BB5ED6">
            <w:pPr>
              <w:spacing w:before="100" w:beforeAutospacing="1" w:after="100" w:afterAutospacing="1" w:line="240" w:lineRule="auto"/>
              <w:rPr>
                <w:rFonts w:eastAsia="Times New Roman" w:cs="Times New Roman"/>
                <w:szCs w:val="24"/>
              </w:rPr>
            </w:pPr>
            <w:r w:rsidRPr="00BB5ED6">
              <w:rPr>
                <w:rFonts w:ascii="Arial" w:eastAsia="Times New Roman" w:hAnsi="Arial" w:cs="Arial"/>
                <w:szCs w:val="24"/>
              </w:rPr>
              <w:t xml:space="preserve">The petitioner may not need to be represented by an attorney at the hearing. However, it is advisable to at least talk with an attorney before starting a proceeding to have the court declare someone incompetent. If the petitioner is represented by an attorney at the hearing, he is responsible for paying his attorney's fees. </w:t>
            </w:r>
          </w:p>
          <w:p w:rsidR="00BB5ED6" w:rsidRPr="00BB5ED6" w:rsidRDefault="00BB5ED6" w:rsidP="00BB5ED6">
            <w:pPr>
              <w:spacing w:before="100" w:beforeAutospacing="1" w:after="100" w:afterAutospacing="1" w:line="240" w:lineRule="auto"/>
              <w:rPr>
                <w:rFonts w:eastAsia="Times New Roman" w:cs="Times New Roman"/>
                <w:szCs w:val="24"/>
              </w:rPr>
            </w:pPr>
            <w:r w:rsidRPr="00BB5ED6">
              <w:rPr>
                <w:rFonts w:ascii="Arial" w:eastAsia="Times New Roman" w:hAnsi="Arial" w:cs="Arial"/>
                <w:i/>
                <w:iCs/>
                <w:szCs w:val="24"/>
              </w:rPr>
              <w:t>What is involved in a guardianship proceeding?</w:t>
            </w:r>
            <w:r w:rsidRPr="00BB5ED6">
              <w:rPr>
                <w:rFonts w:ascii="Arial" w:eastAsia="Times New Roman" w:hAnsi="Arial" w:cs="Arial"/>
                <w:szCs w:val="24"/>
              </w:rPr>
              <w:t xml:space="preserve"> </w:t>
            </w:r>
          </w:p>
          <w:p w:rsidR="00BB5ED6" w:rsidRPr="00BB5ED6" w:rsidRDefault="00BB5ED6" w:rsidP="00BB5ED6">
            <w:pPr>
              <w:spacing w:before="100" w:beforeAutospacing="1" w:after="100" w:afterAutospacing="1" w:line="240" w:lineRule="auto"/>
              <w:rPr>
                <w:rFonts w:eastAsia="Times New Roman" w:cs="Times New Roman"/>
                <w:szCs w:val="24"/>
              </w:rPr>
            </w:pPr>
            <w:r w:rsidRPr="00BB5ED6">
              <w:rPr>
                <w:rFonts w:ascii="Arial" w:eastAsia="Times New Roman" w:hAnsi="Arial" w:cs="Arial"/>
                <w:szCs w:val="24"/>
              </w:rPr>
              <w:t xml:space="preserve">Before the hearing, the clerk may order medical, </w:t>
            </w:r>
            <w:r w:rsidRPr="00BB5ED6">
              <w:rPr>
                <w:rFonts w:ascii="Arial" w:eastAsia="Times New Roman" w:hAnsi="Arial" w:cs="Arial"/>
                <w:szCs w:val="24"/>
              </w:rPr>
              <w:lastRenderedPageBreak/>
              <w:t xml:space="preserve">psychological, social work, and other evaluations of the respondent to help determine whether he is incompetent. The petitioner or respondent may request such evaluations at the time the petition is filed, and both may receive a written report of the results. </w:t>
            </w:r>
          </w:p>
          <w:p w:rsidR="00BB5ED6" w:rsidRPr="00BB5ED6" w:rsidRDefault="00BB5ED6" w:rsidP="00BB5ED6">
            <w:pPr>
              <w:spacing w:before="100" w:beforeAutospacing="1" w:after="100" w:afterAutospacing="1" w:line="240" w:lineRule="auto"/>
              <w:rPr>
                <w:rFonts w:eastAsia="Times New Roman" w:cs="Times New Roman"/>
                <w:szCs w:val="24"/>
              </w:rPr>
            </w:pPr>
            <w:r w:rsidRPr="00BB5ED6">
              <w:rPr>
                <w:rFonts w:ascii="Arial" w:eastAsia="Times New Roman" w:hAnsi="Arial" w:cs="Arial"/>
                <w:szCs w:val="24"/>
              </w:rPr>
              <w:t>The respondent may arrange for an attorney of his choice to represent him in the proceeding. If he doesn't have an attorney, the clerk of superior court appoints one, called a guardian ad litem, to represent him. The respondent is responsible for his attorney's fee, but if he is not financially able to pay the fee, the court will pay it.</w:t>
            </w:r>
          </w:p>
          <w:p w:rsidR="00BB5ED6" w:rsidRPr="00BB5ED6" w:rsidRDefault="00BB5ED6" w:rsidP="00BB5ED6">
            <w:pPr>
              <w:spacing w:before="100" w:beforeAutospacing="1" w:after="100" w:afterAutospacing="1" w:line="240" w:lineRule="auto"/>
              <w:rPr>
                <w:rFonts w:eastAsia="Times New Roman" w:cs="Times New Roman"/>
                <w:szCs w:val="24"/>
              </w:rPr>
            </w:pPr>
            <w:r w:rsidRPr="00BB5ED6">
              <w:rPr>
                <w:rFonts w:ascii="Arial" w:eastAsia="Times New Roman" w:hAnsi="Arial" w:cs="Arial"/>
                <w:szCs w:val="24"/>
              </w:rPr>
              <w:t xml:space="preserve">At the hearing, the clerk serves as judge and he or a jury will consider the results of the requested evaluations and other evidence that relates to whether the respondent is incompetent. The petitioner is responsible for presenting sufficient evidence to convince the clerk or jury that the respondent is incompetent. If the evidence does not convince the clerk or jury that the respondent is incompetent, the clerk dismisses the petition. If the clerk or jury decides that the respondent is incompetent, the clerk hears additional evidence about who should be appointed the guardian or guardians for the adult. </w:t>
            </w:r>
          </w:p>
          <w:p w:rsidR="00BB5ED6" w:rsidRPr="00BB5ED6" w:rsidRDefault="00BB5ED6" w:rsidP="00BB5ED6">
            <w:pPr>
              <w:spacing w:before="100" w:beforeAutospacing="1" w:after="100" w:afterAutospacing="1" w:line="240" w:lineRule="auto"/>
              <w:rPr>
                <w:rFonts w:eastAsia="Times New Roman" w:cs="Times New Roman"/>
                <w:szCs w:val="24"/>
              </w:rPr>
            </w:pPr>
            <w:r w:rsidRPr="00BB5ED6">
              <w:rPr>
                <w:rFonts w:ascii="Arial" w:eastAsia="Times New Roman" w:hAnsi="Arial" w:cs="Arial"/>
                <w:szCs w:val="24"/>
              </w:rPr>
              <w:t xml:space="preserve">Once the adult has been determined to be incompetent and a guardian(s) is appointed, the guardian will receive a written order of appointment from the clerk. This order explains the guardian's powers and duties. If the guardian has questions about his powers and duties, he may direct them to the clerk or to an attorney. </w:t>
            </w:r>
          </w:p>
          <w:p w:rsidR="00BB5ED6" w:rsidRPr="00BB5ED6" w:rsidRDefault="00BB5ED6" w:rsidP="00BB5ED6">
            <w:pPr>
              <w:spacing w:line="240" w:lineRule="auto"/>
              <w:rPr>
                <w:rFonts w:eastAsia="Times New Roman" w:cs="Times New Roman"/>
                <w:szCs w:val="24"/>
              </w:rPr>
            </w:pPr>
            <w:bookmarkStart w:id="1" w:name="Are"/>
            <w:bookmarkEnd w:id="1"/>
            <w:r w:rsidRPr="00BB5ED6">
              <w:rPr>
                <w:rFonts w:eastAsia="Times New Roman" w:cs="Times New Roman"/>
                <w:szCs w:val="24"/>
              </w:rPr>
              <w:pict>
                <v:rect id="_x0000_i1026" style="width:0;height:1.5pt" o:hralign="center" o:hrstd="t" o:hr="t" fillcolor="#a0a0a0" stroked="f"/>
              </w:pict>
            </w:r>
          </w:p>
          <w:p w:rsidR="00BB5ED6" w:rsidRPr="00BB5ED6" w:rsidRDefault="00BB5ED6" w:rsidP="00BB5ED6">
            <w:pPr>
              <w:spacing w:before="100" w:beforeAutospacing="1" w:after="100" w:afterAutospacing="1" w:line="240" w:lineRule="auto"/>
              <w:jc w:val="right"/>
              <w:rPr>
                <w:rFonts w:eastAsia="Times New Roman" w:cs="Times New Roman"/>
                <w:szCs w:val="24"/>
              </w:rPr>
            </w:pPr>
            <w:hyperlink r:id="rId9" w:anchor="top" w:history="1">
              <w:r w:rsidRPr="00BB5ED6">
                <w:rPr>
                  <w:rFonts w:ascii="Arial" w:eastAsia="Times New Roman" w:hAnsi="Arial" w:cs="Arial"/>
                  <w:color w:val="0000FF"/>
                  <w:sz w:val="20"/>
                  <w:szCs w:val="20"/>
                  <w:u w:val="single"/>
                </w:rPr>
                <w:t>Back to the Top</w:t>
              </w:r>
            </w:hyperlink>
          </w:p>
          <w:p w:rsidR="00BB5ED6" w:rsidRPr="00BB5ED6" w:rsidRDefault="00BB5ED6" w:rsidP="00BB5ED6">
            <w:pPr>
              <w:spacing w:before="100" w:beforeAutospacing="1" w:after="100" w:afterAutospacing="1" w:line="240" w:lineRule="auto"/>
              <w:rPr>
                <w:rFonts w:eastAsia="Times New Roman" w:cs="Times New Roman"/>
                <w:szCs w:val="24"/>
              </w:rPr>
            </w:pPr>
            <w:r w:rsidRPr="00BB5ED6">
              <w:rPr>
                <w:rFonts w:ascii="Arial" w:eastAsia="Times New Roman" w:hAnsi="Arial" w:cs="Arial"/>
                <w:szCs w:val="24"/>
              </w:rPr>
              <w:br/>
            </w:r>
            <w:r w:rsidRPr="00BB5ED6">
              <w:rPr>
                <w:rFonts w:ascii="Arial" w:eastAsia="Times New Roman" w:hAnsi="Arial" w:cs="Arial"/>
                <w:b/>
                <w:bCs/>
                <w:szCs w:val="24"/>
              </w:rPr>
              <w:t>Are there different kinds of guardians?</w:t>
            </w:r>
            <w:r w:rsidRPr="00BB5ED6">
              <w:rPr>
                <w:rFonts w:ascii="Arial" w:eastAsia="Times New Roman" w:hAnsi="Arial" w:cs="Arial"/>
                <w:szCs w:val="24"/>
              </w:rPr>
              <w:t xml:space="preserve"> </w:t>
            </w:r>
          </w:p>
          <w:p w:rsidR="00BB5ED6" w:rsidRPr="00BB5ED6" w:rsidRDefault="00BB5ED6" w:rsidP="00BB5ED6">
            <w:pPr>
              <w:spacing w:before="100" w:beforeAutospacing="1" w:after="100" w:afterAutospacing="1" w:line="240" w:lineRule="auto"/>
              <w:rPr>
                <w:rFonts w:eastAsia="Times New Roman" w:cs="Times New Roman"/>
                <w:szCs w:val="24"/>
              </w:rPr>
            </w:pPr>
            <w:r w:rsidRPr="00BB5ED6">
              <w:rPr>
                <w:rFonts w:ascii="Arial" w:eastAsia="Times New Roman" w:hAnsi="Arial" w:cs="Arial"/>
                <w:szCs w:val="24"/>
              </w:rPr>
              <w:t xml:space="preserve">The clerk may appoint a guardian of the person and/or a guardian of the estate, or a general </w:t>
            </w:r>
            <w:r w:rsidRPr="00BB5ED6">
              <w:rPr>
                <w:rFonts w:ascii="Arial" w:eastAsia="Times New Roman" w:hAnsi="Arial" w:cs="Arial"/>
                <w:szCs w:val="24"/>
              </w:rPr>
              <w:lastRenderedPageBreak/>
              <w:t xml:space="preserve">guardian. </w:t>
            </w:r>
          </w:p>
          <w:p w:rsidR="00BB5ED6" w:rsidRPr="00BB5ED6" w:rsidRDefault="00BB5ED6" w:rsidP="00BB5ED6">
            <w:pPr>
              <w:spacing w:before="100" w:beforeAutospacing="1" w:after="100" w:afterAutospacing="1" w:line="240" w:lineRule="auto"/>
              <w:rPr>
                <w:rFonts w:eastAsia="Times New Roman" w:cs="Times New Roman"/>
                <w:szCs w:val="24"/>
              </w:rPr>
            </w:pPr>
            <w:r w:rsidRPr="00BB5ED6">
              <w:rPr>
                <w:rFonts w:ascii="Arial" w:eastAsia="Times New Roman" w:hAnsi="Arial" w:cs="Arial"/>
                <w:i/>
                <w:iCs/>
                <w:szCs w:val="24"/>
              </w:rPr>
              <w:t>What are the powers and duties of each type of guardian?</w:t>
            </w:r>
            <w:r w:rsidRPr="00BB5ED6">
              <w:rPr>
                <w:rFonts w:ascii="Arial" w:eastAsia="Times New Roman" w:hAnsi="Arial" w:cs="Arial"/>
                <w:szCs w:val="24"/>
              </w:rPr>
              <w:t xml:space="preserve"> </w:t>
            </w:r>
          </w:p>
          <w:p w:rsidR="00BB5ED6" w:rsidRPr="00BB5ED6" w:rsidRDefault="00BB5ED6" w:rsidP="00BB5ED6">
            <w:pPr>
              <w:spacing w:before="100" w:beforeAutospacing="1" w:after="100" w:afterAutospacing="1" w:line="240" w:lineRule="auto"/>
              <w:rPr>
                <w:rFonts w:eastAsia="Times New Roman" w:cs="Times New Roman"/>
                <w:szCs w:val="24"/>
              </w:rPr>
            </w:pPr>
            <w:r w:rsidRPr="00BB5ED6">
              <w:rPr>
                <w:rFonts w:ascii="Arial" w:eastAsia="Times New Roman" w:hAnsi="Arial" w:cs="Arial"/>
                <w:szCs w:val="24"/>
              </w:rPr>
              <w:t xml:space="preserve">The specific powers and duties a guardian may be given are found in North Carolina General Statutes, Chapter 35A. Every guardian should have regular contact with his ward and understand his needs, problems and strengths. The guardian has a duty to make the best decisions he can for the ward so that the ward's life is as comfortable, healthy and safe as possible. The guardian also has the duty to permit the ward to participate as fully as possible in all decisions that the ward is able to understand and participate in. </w:t>
            </w:r>
          </w:p>
          <w:p w:rsidR="00BB5ED6" w:rsidRPr="00BB5ED6" w:rsidRDefault="00BB5ED6" w:rsidP="00BB5ED6">
            <w:pPr>
              <w:spacing w:before="100" w:beforeAutospacing="1" w:after="100" w:afterAutospacing="1" w:line="240" w:lineRule="auto"/>
              <w:rPr>
                <w:rFonts w:eastAsia="Times New Roman" w:cs="Times New Roman"/>
                <w:szCs w:val="24"/>
              </w:rPr>
            </w:pPr>
            <w:r w:rsidRPr="00BB5ED6">
              <w:rPr>
                <w:rFonts w:ascii="Arial" w:eastAsia="Times New Roman" w:hAnsi="Arial" w:cs="Arial"/>
                <w:szCs w:val="24"/>
              </w:rPr>
              <w:t xml:space="preserve">If the ward becomes competent to make decisions for </w:t>
            </w:r>
            <w:proofErr w:type="gramStart"/>
            <w:r w:rsidRPr="00BB5ED6">
              <w:rPr>
                <w:rFonts w:ascii="Arial" w:eastAsia="Times New Roman" w:hAnsi="Arial" w:cs="Arial"/>
                <w:szCs w:val="24"/>
              </w:rPr>
              <w:t>himself</w:t>
            </w:r>
            <w:proofErr w:type="gramEnd"/>
            <w:r w:rsidRPr="00BB5ED6">
              <w:rPr>
                <w:rFonts w:ascii="Arial" w:eastAsia="Times New Roman" w:hAnsi="Arial" w:cs="Arial"/>
                <w:szCs w:val="24"/>
              </w:rPr>
              <w:t xml:space="preserve">, the guardian has the duty to petition the clerk to have the ward legally restored to competence. </w:t>
            </w:r>
          </w:p>
          <w:p w:rsidR="00BB5ED6" w:rsidRPr="00BB5ED6" w:rsidRDefault="00BB5ED6" w:rsidP="00BB5ED6">
            <w:pPr>
              <w:spacing w:before="100" w:beforeAutospacing="1" w:after="100" w:afterAutospacing="1" w:line="240" w:lineRule="auto"/>
              <w:rPr>
                <w:rFonts w:eastAsia="Times New Roman" w:cs="Times New Roman"/>
                <w:szCs w:val="24"/>
              </w:rPr>
            </w:pPr>
            <w:r w:rsidRPr="00BB5ED6">
              <w:rPr>
                <w:rFonts w:ascii="Arial" w:eastAsia="Times New Roman" w:hAnsi="Arial" w:cs="Arial"/>
                <w:szCs w:val="24"/>
              </w:rPr>
              <w:t xml:space="preserve">Unless limited by the clerk's order, a </w:t>
            </w:r>
            <w:r w:rsidRPr="00BB5ED6">
              <w:rPr>
                <w:rFonts w:ascii="Arial" w:eastAsia="Times New Roman" w:hAnsi="Arial" w:cs="Arial"/>
                <w:b/>
                <w:bCs/>
                <w:i/>
                <w:iCs/>
                <w:szCs w:val="24"/>
              </w:rPr>
              <w:t>guardian of the person</w:t>
            </w:r>
            <w:r w:rsidRPr="00BB5ED6">
              <w:rPr>
                <w:rFonts w:ascii="Arial" w:eastAsia="Times New Roman" w:hAnsi="Arial" w:cs="Arial"/>
                <w:szCs w:val="24"/>
              </w:rPr>
              <w:t xml:space="preserve"> has authority to make decisions in most areas of a ward's personal life, including: </w:t>
            </w:r>
          </w:p>
          <w:p w:rsidR="00BB5ED6" w:rsidRPr="00BB5ED6" w:rsidRDefault="00BB5ED6" w:rsidP="00BB5ED6">
            <w:pPr>
              <w:numPr>
                <w:ilvl w:val="0"/>
                <w:numId w:val="1"/>
              </w:numPr>
              <w:spacing w:before="100" w:beforeAutospacing="1" w:after="100" w:afterAutospacing="1" w:line="240" w:lineRule="auto"/>
              <w:rPr>
                <w:rFonts w:eastAsia="Times New Roman" w:cs="Times New Roman"/>
                <w:szCs w:val="24"/>
              </w:rPr>
            </w:pPr>
            <w:r w:rsidRPr="00BB5ED6">
              <w:rPr>
                <w:rFonts w:ascii="Arial" w:eastAsia="Times New Roman" w:hAnsi="Arial" w:cs="Arial"/>
                <w:szCs w:val="24"/>
              </w:rPr>
              <w:t xml:space="preserve">Deciding where the ward will live. This decision should be based on the ward's preferences, needs and resources. It may mean deciding the community the ward will live in, whether the ward will live at home, in a group home, nursing home or other living arrangement. Preference for where the ward will live must be given to community based living situations over institutional settings. </w:t>
            </w:r>
          </w:p>
          <w:p w:rsidR="00BB5ED6" w:rsidRPr="00BB5ED6" w:rsidRDefault="00BB5ED6" w:rsidP="00BB5ED6">
            <w:pPr>
              <w:numPr>
                <w:ilvl w:val="0"/>
                <w:numId w:val="1"/>
              </w:numPr>
              <w:spacing w:before="100" w:beforeAutospacing="1" w:after="100" w:afterAutospacing="1" w:line="240" w:lineRule="auto"/>
              <w:rPr>
                <w:rFonts w:eastAsia="Times New Roman" w:cs="Times New Roman"/>
                <w:szCs w:val="24"/>
              </w:rPr>
            </w:pPr>
            <w:r w:rsidRPr="00BB5ED6">
              <w:rPr>
                <w:rFonts w:ascii="Arial" w:eastAsia="Times New Roman" w:hAnsi="Arial" w:cs="Arial"/>
                <w:szCs w:val="24"/>
              </w:rPr>
              <w:t xml:space="preserve">Seeing that the ward receives good care. </w:t>
            </w:r>
            <w:r w:rsidRPr="00BB5ED6">
              <w:rPr>
                <w:rFonts w:ascii="Arial" w:eastAsia="Times New Roman" w:hAnsi="Arial" w:cs="Arial"/>
                <w:szCs w:val="24"/>
              </w:rPr>
              <w:br/>
              <w:t xml:space="preserve">Arranging for any appropriate training, education, employment, habilitation or rehabilitation that the ward may need. </w:t>
            </w:r>
          </w:p>
          <w:p w:rsidR="00BB5ED6" w:rsidRPr="00BB5ED6" w:rsidRDefault="00BB5ED6" w:rsidP="00BB5ED6">
            <w:pPr>
              <w:numPr>
                <w:ilvl w:val="0"/>
                <w:numId w:val="1"/>
              </w:numPr>
              <w:spacing w:before="100" w:beforeAutospacing="1" w:after="100" w:afterAutospacing="1" w:line="240" w:lineRule="auto"/>
              <w:rPr>
                <w:rFonts w:eastAsia="Times New Roman" w:cs="Times New Roman"/>
                <w:szCs w:val="24"/>
              </w:rPr>
            </w:pPr>
            <w:r w:rsidRPr="00BB5ED6">
              <w:rPr>
                <w:rFonts w:ascii="Arial" w:eastAsia="Times New Roman" w:hAnsi="Arial" w:cs="Arial"/>
                <w:szCs w:val="24"/>
              </w:rPr>
              <w:t xml:space="preserve">Giving consent or approval for the ward to receive any needed services (medical, dental, legal, psychological, etc.). The guardian may petition the clerk of superior court for the clerk's agreement with the guardian's decision about such consent. The guardian may not consent to the sterilization of a ward with a </w:t>
            </w:r>
            <w:r w:rsidRPr="00BB5ED6">
              <w:rPr>
                <w:rFonts w:ascii="Arial" w:eastAsia="Times New Roman" w:hAnsi="Arial" w:cs="Arial"/>
                <w:szCs w:val="24"/>
              </w:rPr>
              <w:lastRenderedPageBreak/>
              <w:t xml:space="preserve">mental illness or mental retardation. </w:t>
            </w:r>
          </w:p>
          <w:p w:rsidR="00BB5ED6" w:rsidRPr="00BB5ED6" w:rsidRDefault="00BB5ED6" w:rsidP="00BB5ED6">
            <w:pPr>
              <w:numPr>
                <w:ilvl w:val="0"/>
                <w:numId w:val="1"/>
              </w:numPr>
              <w:spacing w:before="100" w:beforeAutospacing="1" w:after="100" w:afterAutospacing="1" w:line="240" w:lineRule="auto"/>
              <w:rPr>
                <w:rFonts w:eastAsia="Times New Roman" w:cs="Times New Roman"/>
                <w:szCs w:val="24"/>
              </w:rPr>
            </w:pPr>
            <w:r w:rsidRPr="00BB5ED6">
              <w:rPr>
                <w:rFonts w:ascii="Arial" w:eastAsia="Times New Roman" w:hAnsi="Arial" w:cs="Arial"/>
                <w:szCs w:val="24"/>
              </w:rPr>
              <w:t xml:space="preserve">Taking reasonable care of the ward's personal belongings. </w:t>
            </w:r>
          </w:p>
          <w:p w:rsidR="00BB5ED6" w:rsidRPr="00BB5ED6" w:rsidRDefault="00BB5ED6" w:rsidP="00BB5ED6">
            <w:pPr>
              <w:numPr>
                <w:ilvl w:val="0"/>
                <w:numId w:val="1"/>
              </w:numPr>
              <w:spacing w:before="100" w:beforeAutospacing="1" w:after="100" w:afterAutospacing="1" w:line="240" w:lineRule="auto"/>
              <w:rPr>
                <w:rFonts w:eastAsia="Times New Roman" w:cs="Times New Roman"/>
                <w:szCs w:val="24"/>
              </w:rPr>
            </w:pPr>
            <w:r w:rsidRPr="00BB5ED6">
              <w:rPr>
                <w:rFonts w:ascii="Arial" w:eastAsia="Times New Roman" w:hAnsi="Arial" w:cs="Arial"/>
                <w:szCs w:val="24"/>
              </w:rPr>
              <w:t xml:space="preserve">Taking any legal action needed to protect the ward. </w:t>
            </w:r>
          </w:p>
          <w:p w:rsidR="00BB5ED6" w:rsidRPr="00BB5ED6" w:rsidRDefault="00BB5ED6" w:rsidP="00BB5ED6">
            <w:pPr>
              <w:spacing w:before="100" w:beforeAutospacing="1" w:after="100" w:afterAutospacing="1" w:line="240" w:lineRule="auto"/>
              <w:rPr>
                <w:rFonts w:eastAsia="Times New Roman" w:cs="Times New Roman"/>
                <w:szCs w:val="24"/>
              </w:rPr>
            </w:pPr>
            <w:r w:rsidRPr="00BB5ED6">
              <w:rPr>
                <w:rFonts w:ascii="Arial" w:eastAsia="Times New Roman" w:hAnsi="Arial" w:cs="Arial"/>
                <w:szCs w:val="24"/>
              </w:rPr>
              <w:t xml:space="preserve">A </w:t>
            </w:r>
            <w:r w:rsidRPr="00BB5ED6">
              <w:rPr>
                <w:rFonts w:ascii="Arial" w:eastAsia="Times New Roman" w:hAnsi="Arial" w:cs="Arial"/>
                <w:b/>
                <w:bCs/>
                <w:i/>
                <w:iCs/>
                <w:szCs w:val="24"/>
              </w:rPr>
              <w:t>guardian of the estate</w:t>
            </w:r>
            <w:r w:rsidRPr="00BB5ED6">
              <w:rPr>
                <w:rFonts w:ascii="Arial" w:eastAsia="Times New Roman" w:hAnsi="Arial" w:cs="Arial"/>
                <w:szCs w:val="24"/>
              </w:rPr>
              <w:t xml:space="preserve"> has authority to manage the ward's income and property. He must keep good records and make regular reports (annual accounts) to the clerk of superior court about the ward's assets and all expenditures made on behalf of the ward from the ward's estate. The guardian of the estate is required to post a bond for the protection of the ward's estate. Certain actions, such as the sale of the ward's property, require the clerk's prior approval. A guardian of the estate (or general guardian) should talk with the clerk of superior court or an attorney to find out more about the legal requirements involved in managing a ward's estate. </w:t>
            </w:r>
            <w:r w:rsidRPr="00BB5ED6">
              <w:rPr>
                <w:rFonts w:ascii="Arial" w:eastAsia="Times New Roman" w:hAnsi="Arial" w:cs="Arial"/>
                <w:szCs w:val="24"/>
              </w:rPr>
              <w:br/>
              <w:t xml:space="preserve">A </w:t>
            </w:r>
            <w:r w:rsidRPr="00BB5ED6">
              <w:rPr>
                <w:rFonts w:ascii="Arial" w:eastAsia="Times New Roman" w:hAnsi="Arial" w:cs="Arial"/>
                <w:b/>
                <w:bCs/>
                <w:i/>
                <w:iCs/>
                <w:szCs w:val="24"/>
              </w:rPr>
              <w:t>general guardian</w:t>
            </w:r>
            <w:r w:rsidRPr="00BB5ED6">
              <w:rPr>
                <w:rFonts w:ascii="Arial" w:eastAsia="Times New Roman" w:hAnsi="Arial" w:cs="Arial"/>
                <w:szCs w:val="24"/>
              </w:rPr>
              <w:t xml:space="preserve"> has the powers and duties of both a guardian of the person and a guardian of the estate. </w:t>
            </w:r>
          </w:p>
          <w:p w:rsidR="00BB5ED6" w:rsidRPr="00BB5ED6" w:rsidRDefault="00BB5ED6" w:rsidP="00BB5ED6">
            <w:pPr>
              <w:spacing w:before="100" w:beforeAutospacing="1" w:after="100" w:afterAutospacing="1" w:line="240" w:lineRule="auto"/>
              <w:rPr>
                <w:rFonts w:eastAsia="Times New Roman" w:cs="Times New Roman"/>
                <w:szCs w:val="24"/>
              </w:rPr>
            </w:pPr>
            <w:r w:rsidRPr="00BB5ED6">
              <w:rPr>
                <w:rFonts w:ascii="Arial" w:eastAsia="Times New Roman" w:hAnsi="Arial" w:cs="Arial"/>
                <w:i/>
                <w:iCs/>
                <w:szCs w:val="24"/>
              </w:rPr>
              <w:t>What are a guardian's financial obligations?</w:t>
            </w:r>
            <w:r w:rsidRPr="00BB5ED6">
              <w:rPr>
                <w:rFonts w:ascii="Arial" w:eastAsia="Times New Roman" w:hAnsi="Arial" w:cs="Arial"/>
                <w:szCs w:val="24"/>
              </w:rPr>
              <w:t xml:space="preserve"> </w:t>
            </w:r>
          </w:p>
          <w:p w:rsidR="00BB5ED6" w:rsidRPr="00BB5ED6" w:rsidRDefault="00BB5ED6" w:rsidP="00BB5ED6">
            <w:pPr>
              <w:spacing w:before="100" w:beforeAutospacing="1" w:after="100" w:afterAutospacing="1" w:line="240" w:lineRule="auto"/>
              <w:rPr>
                <w:rFonts w:eastAsia="Times New Roman" w:cs="Times New Roman"/>
                <w:szCs w:val="24"/>
              </w:rPr>
            </w:pPr>
            <w:r w:rsidRPr="00BB5ED6">
              <w:rPr>
                <w:rFonts w:ascii="Arial" w:eastAsia="Times New Roman" w:hAnsi="Arial" w:cs="Arial"/>
                <w:szCs w:val="24"/>
              </w:rPr>
              <w:t>A guardian is not required to support the ward financially or to contribute his own resources to the ward, and is not liable for the ward's debts. A guardian may be reimbursed from the ward's estate for reasonable expenses incurred in carrying out his duties as guardian. A guardian of the estate or general guardian may also receive a commission set by the clerk from the ward's estate for serving as guardian.</w:t>
            </w:r>
          </w:p>
          <w:p w:rsidR="00BB5ED6" w:rsidRPr="00BB5ED6" w:rsidRDefault="00BB5ED6" w:rsidP="00BB5ED6">
            <w:pPr>
              <w:spacing w:line="240" w:lineRule="auto"/>
              <w:rPr>
                <w:rFonts w:eastAsia="Times New Roman" w:cs="Times New Roman"/>
                <w:szCs w:val="24"/>
              </w:rPr>
            </w:pPr>
            <w:bookmarkStart w:id="2" w:name="When"/>
            <w:bookmarkEnd w:id="2"/>
            <w:r w:rsidRPr="00BB5ED6">
              <w:rPr>
                <w:rFonts w:eastAsia="Times New Roman" w:cs="Times New Roman"/>
                <w:szCs w:val="24"/>
              </w:rPr>
              <w:pict>
                <v:rect id="_x0000_i1027" style="width:0;height:1.5pt" o:hralign="center" o:hrstd="t" o:hr="t" fillcolor="#a0a0a0" stroked="f"/>
              </w:pict>
            </w:r>
          </w:p>
          <w:p w:rsidR="00BB5ED6" w:rsidRPr="00BB5ED6" w:rsidRDefault="00BB5ED6" w:rsidP="00BB5ED6">
            <w:pPr>
              <w:spacing w:before="100" w:beforeAutospacing="1" w:after="100" w:afterAutospacing="1" w:line="240" w:lineRule="auto"/>
              <w:jc w:val="right"/>
              <w:rPr>
                <w:rFonts w:eastAsia="Times New Roman" w:cs="Times New Roman"/>
                <w:szCs w:val="24"/>
              </w:rPr>
            </w:pPr>
            <w:hyperlink r:id="rId10" w:anchor="top" w:history="1">
              <w:r w:rsidRPr="00BB5ED6">
                <w:rPr>
                  <w:rFonts w:ascii="Arial" w:eastAsia="Times New Roman" w:hAnsi="Arial" w:cs="Arial"/>
                  <w:color w:val="0000FF"/>
                  <w:szCs w:val="24"/>
                  <w:u w:val="single"/>
                </w:rPr>
                <w:t>Back to the Top</w:t>
              </w:r>
            </w:hyperlink>
          </w:p>
          <w:p w:rsidR="00BB5ED6" w:rsidRPr="00BB5ED6" w:rsidRDefault="00BB5ED6" w:rsidP="00BB5ED6">
            <w:pPr>
              <w:spacing w:before="100" w:beforeAutospacing="1" w:after="100" w:afterAutospacing="1" w:line="240" w:lineRule="auto"/>
              <w:rPr>
                <w:rFonts w:eastAsia="Times New Roman" w:cs="Times New Roman"/>
                <w:szCs w:val="24"/>
              </w:rPr>
            </w:pPr>
            <w:r w:rsidRPr="00BB5ED6">
              <w:rPr>
                <w:rFonts w:ascii="Arial" w:eastAsia="Times New Roman" w:hAnsi="Arial" w:cs="Arial"/>
                <w:b/>
                <w:bCs/>
                <w:szCs w:val="24"/>
              </w:rPr>
              <w:t>When does a guardianship end?</w:t>
            </w:r>
          </w:p>
          <w:p w:rsidR="00BB5ED6" w:rsidRPr="00BB5ED6" w:rsidRDefault="00BB5ED6" w:rsidP="00BB5ED6">
            <w:pPr>
              <w:spacing w:before="100" w:beforeAutospacing="1" w:after="100" w:afterAutospacing="1" w:line="240" w:lineRule="auto"/>
              <w:rPr>
                <w:rFonts w:eastAsia="Times New Roman" w:cs="Times New Roman"/>
                <w:szCs w:val="24"/>
              </w:rPr>
            </w:pPr>
            <w:r w:rsidRPr="00BB5ED6">
              <w:rPr>
                <w:rFonts w:ascii="Arial" w:eastAsia="Times New Roman" w:hAnsi="Arial" w:cs="Arial"/>
                <w:szCs w:val="24"/>
              </w:rPr>
              <w:t xml:space="preserve">A guardianship, and the guardian's powers and duties end when any of the following occurs: </w:t>
            </w:r>
          </w:p>
          <w:p w:rsidR="00BB5ED6" w:rsidRPr="00BB5ED6" w:rsidRDefault="00BB5ED6" w:rsidP="00BB5ED6">
            <w:pPr>
              <w:numPr>
                <w:ilvl w:val="0"/>
                <w:numId w:val="2"/>
              </w:numPr>
              <w:spacing w:before="100" w:beforeAutospacing="1" w:after="100" w:afterAutospacing="1" w:line="240" w:lineRule="auto"/>
              <w:rPr>
                <w:rFonts w:eastAsia="Times New Roman" w:cs="Times New Roman"/>
                <w:szCs w:val="24"/>
              </w:rPr>
            </w:pPr>
            <w:r w:rsidRPr="00BB5ED6">
              <w:rPr>
                <w:rFonts w:ascii="Arial" w:eastAsia="Times New Roman" w:hAnsi="Arial" w:cs="Arial"/>
                <w:szCs w:val="24"/>
              </w:rPr>
              <w:t>The ward dies</w:t>
            </w:r>
          </w:p>
          <w:p w:rsidR="00BB5ED6" w:rsidRPr="00BB5ED6" w:rsidRDefault="00BB5ED6" w:rsidP="00BB5ED6">
            <w:pPr>
              <w:numPr>
                <w:ilvl w:val="0"/>
                <w:numId w:val="2"/>
              </w:numPr>
              <w:spacing w:before="100" w:beforeAutospacing="1" w:after="100" w:afterAutospacing="1" w:line="240" w:lineRule="auto"/>
              <w:rPr>
                <w:rFonts w:eastAsia="Times New Roman" w:cs="Times New Roman"/>
                <w:szCs w:val="24"/>
              </w:rPr>
            </w:pPr>
            <w:r w:rsidRPr="00BB5ED6">
              <w:rPr>
                <w:rFonts w:ascii="Arial" w:eastAsia="Times New Roman" w:hAnsi="Arial" w:cs="Arial"/>
                <w:szCs w:val="24"/>
              </w:rPr>
              <w:t xml:space="preserve">The clerk of superior court removes the </w:t>
            </w:r>
            <w:r w:rsidRPr="00BB5ED6">
              <w:rPr>
                <w:rFonts w:ascii="Arial" w:eastAsia="Times New Roman" w:hAnsi="Arial" w:cs="Arial"/>
                <w:szCs w:val="24"/>
              </w:rPr>
              <w:lastRenderedPageBreak/>
              <w:t>guardian from his position</w:t>
            </w:r>
          </w:p>
          <w:p w:rsidR="00BB5ED6" w:rsidRPr="00BB5ED6" w:rsidRDefault="00BB5ED6" w:rsidP="00BB5ED6">
            <w:pPr>
              <w:numPr>
                <w:ilvl w:val="0"/>
                <w:numId w:val="2"/>
              </w:numPr>
              <w:spacing w:before="100" w:beforeAutospacing="1" w:after="100" w:afterAutospacing="1" w:line="240" w:lineRule="auto"/>
              <w:rPr>
                <w:rFonts w:eastAsia="Times New Roman" w:cs="Times New Roman"/>
                <w:szCs w:val="24"/>
              </w:rPr>
            </w:pPr>
            <w:r w:rsidRPr="00BB5ED6">
              <w:rPr>
                <w:rFonts w:ascii="Arial" w:eastAsia="Times New Roman" w:hAnsi="Arial" w:cs="Arial"/>
                <w:szCs w:val="24"/>
              </w:rPr>
              <w:t xml:space="preserve">The ward's competence is restored; or </w:t>
            </w:r>
          </w:p>
          <w:p w:rsidR="00BB5ED6" w:rsidRPr="00BB5ED6" w:rsidRDefault="00BB5ED6" w:rsidP="00BB5ED6">
            <w:pPr>
              <w:numPr>
                <w:ilvl w:val="0"/>
                <w:numId w:val="2"/>
              </w:numPr>
              <w:spacing w:before="100" w:beforeAutospacing="1" w:after="100" w:afterAutospacing="1" w:line="240" w:lineRule="auto"/>
              <w:rPr>
                <w:rFonts w:eastAsia="Times New Roman" w:cs="Times New Roman"/>
                <w:szCs w:val="24"/>
              </w:rPr>
            </w:pPr>
            <w:r w:rsidRPr="00BB5ED6">
              <w:rPr>
                <w:rFonts w:ascii="Arial" w:eastAsia="Times New Roman" w:hAnsi="Arial" w:cs="Arial"/>
                <w:szCs w:val="24"/>
              </w:rPr>
              <w:t>The guardian resign</w:t>
            </w:r>
          </w:p>
          <w:p w:rsidR="00BB5ED6" w:rsidRPr="00BB5ED6" w:rsidRDefault="00BB5ED6" w:rsidP="00BB5ED6">
            <w:pPr>
              <w:spacing w:before="100" w:beforeAutospacing="1" w:after="100" w:afterAutospacing="1" w:line="240" w:lineRule="auto"/>
              <w:rPr>
                <w:rFonts w:eastAsia="Times New Roman" w:cs="Times New Roman"/>
                <w:szCs w:val="24"/>
              </w:rPr>
            </w:pPr>
            <w:r w:rsidRPr="00BB5ED6">
              <w:rPr>
                <w:rFonts w:ascii="Arial" w:eastAsia="Times New Roman" w:hAnsi="Arial" w:cs="Arial"/>
                <w:szCs w:val="24"/>
              </w:rPr>
              <w:t xml:space="preserve">For more information about guardianship contact your local Clerk of Superior Court's Office or your </w:t>
            </w:r>
            <w:hyperlink r:id="rId11" w:tgtFrame="new" w:history="1">
              <w:r w:rsidRPr="00BB5ED6">
                <w:rPr>
                  <w:rFonts w:ascii="Arial" w:eastAsia="Times New Roman" w:hAnsi="Arial" w:cs="Arial"/>
                  <w:i/>
                  <w:iCs/>
                  <w:color w:val="0000FF"/>
                  <w:szCs w:val="24"/>
                  <w:u w:val="single"/>
                </w:rPr>
                <w:t>county DSS</w:t>
              </w:r>
            </w:hyperlink>
            <w:r w:rsidRPr="00BB5ED6">
              <w:rPr>
                <w:rFonts w:ascii="Arial" w:eastAsia="Times New Roman" w:hAnsi="Arial" w:cs="Arial"/>
                <w:szCs w:val="24"/>
              </w:rPr>
              <w:t xml:space="preserve">, area mental health agency, health department, or county agency on aging. </w:t>
            </w:r>
          </w:p>
        </w:tc>
        <w:tc>
          <w:tcPr>
            <w:tcW w:w="0" w:type="auto"/>
            <w:hideMark/>
          </w:tcPr>
          <w:p w:rsidR="00BB5ED6" w:rsidRPr="00BB5ED6" w:rsidRDefault="00BB5ED6" w:rsidP="00BB5ED6">
            <w:pPr>
              <w:spacing w:line="240" w:lineRule="auto"/>
              <w:rPr>
                <w:rFonts w:eastAsia="Times New Roman" w:cs="Times New Roman"/>
                <w:sz w:val="20"/>
                <w:szCs w:val="20"/>
              </w:rPr>
            </w:pPr>
          </w:p>
        </w:tc>
        <w:tc>
          <w:tcPr>
            <w:tcW w:w="0" w:type="auto"/>
            <w:hideMark/>
          </w:tcPr>
          <w:p w:rsidR="00BB5ED6" w:rsidRPr="00BB5ED6" w:rsidRDefault="00BB5ED6" w:rsidP="00BB5ED6">
            <w:pPr>
              <w:spacing w:line="240" w:lineRule="auto"/>
              <w:rPr>
                <w:rFonts w:eastAsia="Times New Roman" w:cs="Times New Roman"/>
                <w:sz w:val="20"/>
                <w:szCs w:val="20"/>
              </w:rPr>
            </w:pPr>
          </w:p>
        </w:tc>
      </w:tr>
    </w:tbl>
    <w:p w:rsidR="004928A2" w:rsidRDefault="004928A2">
      <w:bookmarkStart w:id="3" w:name="_GoBack"/>
      <w:bookmarkEnd w:id="3"/>
    </w:p>
    <w:sectPr w:rsidR="00492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C44"/>
    <w:multiLevelType w:val="multilevel"/>
    <w:tmpl w:val="20C4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40D80"/>
    <w:multiLevelType w:val="multilevel"/>
    <w:tmpl w:val="393E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ED6"/>
    <w:rsid w:val="004928A2"/>
    <w:rsid w:val="00BB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5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orma\Desktop\Transition\NC%20DAAS%20%20Guardianship%20Services_files\afs_guard.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Norma\Desktop\Transition\NC%20DAAS%20%20Guardianship%20Services_files\afs_guard.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Norma\Desktop\Transition\NC%20DAAS%20%20Guardianship%20Services_files\afs_guard.htm" TargetMode="External"/><Relationship Id="rId11" Type="http://schemas.openxmlformats.org/officeDocument/2006/relationships/hyperlink" Target="http://www.ncdhhs.gov/dss/local/" TargetMode="External"/><Relationship Id="rId5" Type="http://schemas.openxmlformats.org/officeDocument/2006/relationships/webSettings" Target="webSettings.xml"/><Relationship Id="rId10" Type="http://schemas.openxmlformats.org/officeDocument/2006/relationships/hyperlink" Target="file:///C:\Users\Norma\Desktop\Transition\NC%20DAAS%20%20Guardianship%20Services_files\afs_guard.htm" TargetMode="External"/><Relationship Id="rId4" Type="http://schemas.openxmlformats.org/officeDocument/2006/relationships/settings" Target="settings.xml"/><Relationship Id="rId9" Type="http://schemas.openxmlformats.org/officeDocument/2006/relationships/hyperlink" Target="file:///C:\Users\Norma\Desktop\Transition\NC%20DAAS%20%20Guardianship%20Services_files\afs_guar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Norma</cp:lastModifiedBy>
  <cp:revision>1</cp:revision>
  <dcterms:created xsi:type="dcterms:W3CDTF">2014-06-04T17:26:00Z</dcterms:created>
  <dcterms:modified xsi:type="dcterms:W3CDTF">2014-06-04T17:27:00Z</dcterms:modified>
</cp:coreProperties>
</file>